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/>
          <w:color w:val="auto"/>
          <w:sz w:val="32"/>
          <w:szCs w:val="48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48"/>
          <w:highlight w:val="none"/>
          <w:lang w:val="en-US" w:eastAsia="zh-CN"/>
        </w:rPr>
        <w:t>连云港市工投集团供电分公司机械、车辆租赁</w:t>
      </w:r>
    </w:p>
    <w:p>
      <w:pPr>
        <w:pStyle w:val="4"/>
        <w:jc w:val="center"/>
        <w:rPr>
          <w:rFonts w:hint="eastAsia" w:eastAsia="宋体"/>
          <w:color w:val="auto"/>
          <w:sz w:val="32"/>
          <w:szCs w:val="48"/>
          <w:highlight w:val="none"/>
          <w:lang w:eastAsia="zh-CN"/>
        </w:rPr>
      </w:pPr>
      <w:r>
        <w:rPr>
          <w:rFonts w:hint="eastAsia"/>
          <w:color w:val="auto"/>
          <w:sz w:val="32"/>
          <w:szCs w:val="48"/>
          <w:highlight w:val="none"/>
          <w:lang w:val="en-US" w:eastAsia="zh-CN"/>
        </w:rPr>
        <w:t>服务外包项目</w:t>
      </w:r>
      <w:r>
        <w:rPr>
          <w:rFonts w:hint="eastAsia"/>
          <w:color w:val="auto"/>
          <w:sz w:val="32"/>
          <w:szCs w:val="48"/>
          <w:highlight w:val="none"/>
        </w:rPr>
        <w:t>公开招标公告</w:t>
      </w:r>
      <w:r>
        <w:rPr>
          <w:rFonts w:hint="eastAsia"/>
          <w:color w:val="auto"/>
          <w:sz w:val="32"/>
          <w:szCs w:val="48"/>
          <w:highlight w:val="none"/>
          <w:lang w:eastAsia="zh-CN"/>
        </w:rPr>
        <w:t>（</w:t>
      </w:r>
      <w:r>
        <w:rPr>
          <w:rFonts w:hint="eastAsia"/>
          <w:color w:val="auto"/>
          <w:sz w:val="32"/>
          <w:szCs w:val="48"/>
          <w:highlight w:val="none"/>
          <w:lang w:val="en-US" w:eastAsia="zh-CN"/>
        </w:rPr>
        <w:t>二次</w:t>
      </w:r>
      <w:r>
        <w:rPr>
          <w:rFonts w:hint="eastAsia"/>
          <w:color w:val="auto"/>
          <w:sz w:val="32"/>
          <w:szCs w:val="48"/>
          <w:highlight w:val="none"/>
          <w:lang w:eastAsia="zh-CN"/>
        </w:rPr>
        <w:t>）</w:t>
      </w:r>
    </w:p>
    <w:p>
      <w:pPr>
        <w:pStyle w:val="17"/>
        <w:widowControl/>
        <w:snapToGrid w:val="0"/>
        <w:spacing w:beforeAutospacing="0" w:after="300" w:afterAutospacing="0" w:line="560" w:lineRule="exact"/>
        <w:ind w:firstLine="480" w:firstLineChars="200"/>
        <w:contextualSpacing/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Toc35393621"/>
      <w:bookmarkStart w:id="1" w:name="_Toc28359079"/>
      <w:bookmarkStart w:id="2" w:name="_Toc28359002"/>
      <w:bookmarkStart w:id="3" w:name="_Toc35393790"/>
      <w:r>
        <w:rPr>
          <w:rFonts w:hint="eastAsia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现对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连云港</w:t>
      </w:r>
      <w:r>
        <w:rPr>
          <w:rFonts w:hint="eastAsia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市</w:t>
      </w:r>
      <w:r>
        <w:rPr>
          <w:rFonts w:hint="eastAsia" w:ascii="宋体" w:hAnsi="宋体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工投集团供电分公司机械、车辆租赁服务外包项目进行公开招标。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1.项目名称：连云港市工投集团供电分公司机械、车辆租赁服务外包项目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2.采购内容：连云港工投集团供电工程分公司机械、车辆租赁</w:t>
      </w:r>
    </w:p>
    <w:tbl>
      <w:tblPr>
        <w:tblStyle w:val="18"/>
        <w:tblpPr w:leftFromText="180" w:rightFromText="180" w:vertAnchor="text" w:horzAnchor="page" w:tblpX="1072" w:tblpY="320"/>
        <w:tblOverlap w:val="never"/>
        <w:tblW w:w="555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289"/>
        <w:gridCol w:w="1220"/>
        <w:gridCol w:w="821"/>
        <w:gridCol w:w="1448"/>
        <w:gridCol w:w="771"/>
        <w:gridCol w:w="847"/>
        <w:gridCol w:w="27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序号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类型</w:t>
            </w:r>
          </w:p>
        </w:tc>
        <w:tc>
          <w:tcPr>
            <w:tcW w:w="62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具备条件</w:t>
            </w:r>
          </w:p>
        </w:tc>
        <w:tc>
          <w:tcPr>
            <w:tcW w:w="42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工作内容</w:t>
            </w:r>
          </w:p>
        </w:tc>
        <w:tc>
          <w:tcPr>
            <w:tcW w:w="74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工作范围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含税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金额（元）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66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货车(双排座，4.2m)</w:t>
            </w:r>
          </w:p>
        </w:tc>
        <w:tc>
          <w:tcPr>
            <w:tcW w:w="627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top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1.坚持车辆“三检制度”，安全防范设备保持齐全有效，不驾驶机件失灵、违章装载的机械车辆，车容要保持整洁。                 2.机械处于良好状态，驾驶人员驾驶证、操作证齐全有效，机械各种合格证齐全有效。                   3.随身携带“三证”（驾驶证、行车证、身份证），不得驾驶与准驾车型不符的车辆，严禁将车交给非司机驾驶。                                             4.驾驶特种车必须选派有经验的驾驶员，严禁非特种车驾驶员驾驶特种车。</w:t>
            </w:r>
          </w:p>
        </w:tc>
        <w:tc>
          <w:tcPr>
            <w:tcW w:w="422" w:type="pct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装卸货物</w:t>
            </w:r>
          </w:p>
        </w:tc>
        <w:tc>
          <w:tcPr>
            <w:tcW w:w="7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43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货车(6.2m)4T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货车(6.8m)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货车(9m)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自卸货车8T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自卸货车15T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炮车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运输电杆等货物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炮车（自装自卸）电杆专用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吊车（8T）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吊装货物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吊车（12T）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吊车（16T）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吊车（25T）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吊车（50T）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吊车（70T）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3240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面包车（7）人座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人员运输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432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16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面包车（11）人座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17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叉车3T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装卸货物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18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叉车5T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1035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19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叉车8T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台班/元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一台班等于8小时,连续作业未到达两个台班时方可收取一次进场费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20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挖掘机（70-90）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平整场地，挖杆洞及相关工程施工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21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挖掘机150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22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挖掘机（200-220）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23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宽履带挖掘机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24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水上挖掘机200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连云港市范围内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小时/元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25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车辆拖运费</w:t>
            </w:r>
          </w:p>
        </w:tc>
        <w:tc>
          <w:tcPr>
            <w:tcW w:w="6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次/元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连续作业未到达两个台班时方可收取一次进场费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合计</w:t>
            </w:r>
          </w:p>
        </w:tc>
        <w:tc>
          <w:tcPr>
            <w:tcW w:w="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22533</w:t>
            </w:r>
          </w:p>
        </w:tc>
        <w:tc>
          <w:tcPr>
            <w:tcW w:w="14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60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3.服务期限：1年。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4" w:name="_Toc28359003"/>
      <w:bookmarkStart w:id="5" w:name="_Toc28359080"/>
      <w:bookmarkStart w:id="6" w:name="_Toc35393622"/>
      <w:bookmarkStart w:id="7" w:name="_Toc35393791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二、投标人的资格要求</w:t>
      </w:r>
      <w:bookmarkEnd w:id="4"/>
      <w:bookmarkEnd w:id="5"/>
      <w:bookmarkEnd w:id="6"/>
      <w:bookmarkEnd w:id="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（1）本次招标要求投标人须为中华人民共和国境内注册的独立法人单位，具有机械、车辆租赁、服务外包等相关营业范围，处于正常的生产经营状态（提供相关证明文件）。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（2）近3年内（企业及企业法人）无拖欠农民工工资等不良信用记录（提供不拖欠农民工工资书面承诺）。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（3）近3年内（企业及企业法人）未被“信用中国”网站（www.creditchina.gov.cn）列入失信被执行人、重大税收违法案件当事人名单、政府采购严重失信行为记录名单（提供信用查询记录及承诺书）。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（4）有依法缴纳税收的良好记录（提供2023年内三个月缴税证明）。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（5）机械、车辆、作业人员相关资料及保单（提供部分资料及保单）。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（6）必须具有与本项目相关的业绩和合同履约能力（合同金额不少于100万元，提供相关合同及发票）。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三、作业机械(车辆)及作业人员具体要求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投标人所提供作业机械(车辆)必须通过合法有效的检测并按国家规定购买相关保险，包括交强险、三责险、车上人员责任险(保险金额不低于100万)等相关保险。挖机、叉车操作人员须购买意外伤害险。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四、获取招标文件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instrText xml:space="preserve"> HYPERLINK "mailto:凡有意参加投标者，请于2021年07月05日至2021年07月09日，每日上午08时至11时，下午02时至05时（北京时间，下同），请投标人将企业营业执照、授权委托代表身份证扫描件及投标人联系方式发送至lyggtgdzcb@163.com。招标人收到邮件后将招标文件发送给投标人。" </w:instrTex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凡有意参加投标者，请于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2023年06月17日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至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 2023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06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21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日，每日上午08时至11时，下午02时至05时（北京时间，下同），请投标人将企业营业执照、授权委托代表身份证扫描件及投标人联系方式发送至lyggtgdzcb@163.com。招标人收到邮件后将招标文件发送给投标人。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fldChar w:fldCharType="end"/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8" w:name="_Toc35393625"/>
      <w:bookmarkStart w:id="9" w:name="_Toc35393794"/>
      <w:bookmarkStart w:id="10" w:name="_Toc28359007"/>
      <w:bookmarkStart w:id="11" w:name="_Toc28359084"/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五、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投标文件的递交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投标文件递交的截止时间（投标截止时间，下同）为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2023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年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26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日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09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时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30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分，地点为连云港市高新区花果山大道109号广电影视城十二楼1203会议室。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.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逾期送达的、未送达指定地点的或者不按照招标文件要求密封的投标文件，招标人将予以拒收。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六、资格审查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本项目实行资格后审，投标人需在投标文件里提供资格条件内容的相关资料，否则将导致资格审查不通过。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七、评标方法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本项目采用经评审的最低投标价法。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八、招标公告及中标公示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招标公告及中标公示在连云港市工业投资集团网站（http://www.lygsgt.com/）及连云港市工业投资集团供电工程分公司（http://www.lyggtgd.com/）上发布。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九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、其他补充事宜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1.本项目收取投标保证金。保证金缴费凭证需装订在投标文件内。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.本次投标保证金金额为人民币贰万元整（￥20000.00元整），投标保证金必须在投标文件提交截止期前一个工作日17:00前交至连云港市工业投资集团有限公司供电工程分公司账户，本项目不接受现金、支票、汇票等形式的保证金，请备注投标单位名称与项目名称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3.投标保证金接收人：连云港市工业投资集团有限公司供电工程分公司。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开户行：江苏银行新浦支行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账号：11220188000102963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投标保证金必须从企业的法人基本存款账户缴纳，以个人、企业的办事处、分公司、子公司名义或从他人账户、投标人企业的其他账户缴纳的投标保证金无效。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4.投标保证金的退还：本项目确定中标人并发布中标通知书后5个工作日内，无息原账号退回。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spacing w:afterAutospacing="0" w:line="360" w:lineRule="auto"/>
        <w:ind w:left="0" w:leftChars="0" w:firstLine="0" w:firstLineChars="0"/>
        <w:jc w:val="both"/>
        <w:textAlignment w:val="auto"/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十、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联系方式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招标人：连云港市工投集团供电工程分公司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地址：江苏省连云港市高新区花果山大道109号广电影视城十二楼1215资产管理部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 xml:space="preserve">联系人：杨女士 </w:t>
      </w:r>
    </w:p>
    <w:p>
      <w:pPr>
        <w:pStyle w:val="17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firstLine="480" w:firstLineChars="200"/>
        <w:contextualSpacing/>
        <w:textAlignment w:val="auto"/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电话：19901572048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宋体" w:hAnsi="宋体" w:eastAsia="宋体"/>
          <w:szCs w:val="21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ab/>
      </w:r>
      <w:r>
        <w:rPr>
          <w:rFonts w:hint="eastAsia" w:ascii="宋体" w:hAnsi="宋体" w:eastAsia="宋体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2023年06月16</w:t>
      </w:r>
      <w:bookmarkStart w:id="12" w:name="_GoBack"/>
      <w:bookmarkEnd w:id="12"/>
      <w:r>
        <w:rPr>
          <w:rFonts w:hint="eastAsia" w:ascii="宋体" w:hAnsi="宋体" w:eastAsia="宋体" w:cs="Times New Roman"/>
          <w:b w:val="0"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日  </w:t>
      </w:r>
    </w:p>
    <w:bookmarkEnd w:id="8"/>
    <w:bookmarkEnd w:id="9"/>
    <w:bookmarkEnd w:id="10"/>
    <w:bookmarkEnd w:id="11"/>
    <w:p>
      <w:pPr>
        <w:adjustRightInd w:val="0"/>
        <w:snapToGrid w:val="0"/>
        <w:spacing w:line="360" w:lineRule="auto"/>
        <w:ind w:firstLine="420" w:firstLineChars="200"/>
        <w:rPr>
          <w:rFonts w:ascii="宋体" w:hAnsi="宋体" w:eastAsia="宋体"/>
          <w:szCs w:val="21"/>
        </w:rPr>
      </w:pPr>
    </w:p>
    <w:p>
      <w:pPr>
        <w:widowControl/>
        <w:jc w:val="left"/>
      </w:pPr>
    </w:p>
    <w:sectPr>
      <w:footerReference r:id="rId3" w:type="default"/>
      <w:pgSz w:w="11906" w:h="16838"/>
      <w:pgMar w:top="1474" w:right="1418" w:bottom="1418" w:left="1474" w:header="851" w:footer="1191" w:gutter="284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7177228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kNGQ4ZGQwM2RhZGI0Yjc4OTFiZDg1YWEyODQzZWIifQ=="/>
  </w:docVars>
  <w:rsids>
    <w:rsidRoot w:val="00CD46C0"/>
    <w:rsid w:val="000028A2"/>
    <w:rsid w:val="0003170A"/>
    <w:rsid w:val="000953F7"/>
    <w:rsid w:val="000C04C8"/>
    <w:rsid w:val="000C3894"/>
    <w:rsid w:val="000E2ABA"/>
    <w:rsid w:val="00125D11"/>
    <w:rsid w:val="0014165C"/>
    <w:rsid w:val="0017674B"/>
    <w:rsid w:val="001E5DBE"/>
    <w:rsid w:val="001E69C5"/>
    <w:rsid w:val="00243B0A"/>
    <w:rsid w:val="0025781F"/>
    <w:rsid w:val="00286356"/>
    <w:rsid w:val="002B553F"/>
    <w:rsid w:val="002C1637"/>
    <w:rsid w:val="002E5BE2"/>
    <w:rsid w:val="00306FC6"/>
    <w:rsid w:val="00315706"/>
    <w:rsid w:val="0031683C"/>
    <w:rsid w:val="003853AF"/>
    <w:rsid w:val="003C172E"/>
    <w:rsid w:val="0041764F"/>
    <w:rsid w:val="00482642"/>
    <w:rsid w:val="00493C02"/>
    <w:rsid w:val="004A1E80"/>
    <w:rsid w:val="004F080D"/>
    <w:rsid w:val="005011F1"/>
    <w:rsid w:val="0050171F"/>
    <w:rsid w:val="00550495"/>
    <w:rsid w:val="0057139C"/>
    <w:rsid w:val="00584E22"/>
    <w:rsid w:val="005A63DE"/>
    <w:rsid w:val="00614555"/>
    <w:rsid w:val="006245F1"/>
    <w:rsid w:val="00647661"/>
    <w:rsid w:val="0069290F"/>
    <w:rsid w:val="00792654"/>
    <w:rsid w:val="007C1D65"/>
    <w:rsid w:val="008F5D42"/>
    <w:rsid w:val="008F7E19"/>
    <w:rsid w:val="00931A83"/>
    <w:rsid w:val="00937315"/>
    <w:rsid w:val="009435F1"/>
    <w:rsid w:val="009637BB"/>
    <w:rsid w:val="009A61EB"/>
    <w:rsid w:val="009D3339"/>
    <w:rsid w:val="009D406A"/>
    <w:rsid w:val="009D65DE"/>
    <w:rsid w:val="00A2671B"/>
    <w:rsid w:val="00A35DD3"/>
    <w:rsid w:val="00AA00A1"/>
    <w:rsid w:val="00AA3845"/>
    <w:rsid w:val="00AF07CF"/>
    <w:rsid w:val="00B01932"/>
    <w:rsid w:val="00B039F8"/>
    <w:rsid w:val="00B80C9C"/>
    <w:rsid w:val="00B878A8"/>
    <w:rsid w:val="00BA092A"/>
    <w:rsid w:val="00BB5B28"/>
    <w:rsid w:val="00BC7E3C"/>
    <w:rsid w:val="00BF3C9C"/>
    <w:rsid w:val="00C131AB"/>
    <w:rsid w:val="00C53AF7"/>
    <w:rsid w:val="00CB3A1F"/>
    <w:rsid w:val="00CD46C0"/>
    <w:rsid w:val="00D24DAB"/>
    <w:rsid w:val="00D2527D"/>
    <w:rsid w:val="00D54311"/>
    <w:rsid w:val="00D67279"/>
    <w:rsid w:val="00D83DB9"/>
    <w:rsid w:val="00DF36E7"/>
    <w:rsid w:val="00EB6E32"/>
    <w:rsid w:val="00F151E2"/>
    <w:rsid w:val="00F210C0"/>
    <w:rsid w:val="00FA17B6"/>
    <w:rsid w:val="00FA6B56"/>
    <w:rsid w:val="00FA6F27"/>
    <w:rsid w:val="00FE7658"/>
    <w:rsid w:val="00FF7D39"/>
    <w:rsid w:val="01B30554"/>
    <w:rsid w:val="072E0AA7"/>
    <w:rsid w:val="07645AFB"/>
    <w:rsid w:val="0A5B6A8E"/>
    <w:rsid w:val="0E495FA4"/>
    <w:rsid w:val="10190A69"/>
    <w:rsid w:val="11837B90"/>
    <w:rsid w:val="12D616CB"/>
    <w:rsid w:val="12F07AEF"/>
    <w:rsid w:val="16CF5220"/>
    <w:rsid w:val="18AC52A5"/>
    <w:rsid w:val="18E9212A"/>
    <w:rsid w:val="19451778"/>
    <w:rsid w:val="195C7994"/>
    <w:rsid w:val="19DA11A0"/>
    <w:rsid w:val="1C504702"/>
    <w:rsid w:val="1DD2622D"/>
    <w:rsid w:val="20D42938"/>
    <w:rsid w:val="21EC1ECE"/>
    <w:rsid w:val="224663B1"/>
    <w:rsid w:val="246B1F52"/>
    <w:rsid w:val="248D5FC1"/>
    <w:rsid w:val="24C01E75"/>
    <w:rsid w:val="255E74F8"/>
    <w:rsid w:val="26FC4E11"/>
    <w:rsid w:val="2B154A1A"/>
    <w:rsid w:val="2B28059D"/>
    <w:rsid w:val="2F9B63A5"/>
    <w:rsid w:val="30DE5612"/>
    <w:rsid w:val="33A565AA"/>
    <w:rsid w:val="34780980"/>
    <w:rsid w:val="376377AD"/>
    <w:rsid w:val="37A86669"/>
    <w:rsid w:val="3845694A"/>
    <w:rsid w:val="3ABB0A9D"/>
    <w:rsid w:val="3AFD0B8A"/>
    <w:rsid w:val="3B022A04"/>
    <w:rsid w:val="3C9A467E"/>
    <w:rsid w:val="3D1A03B6"/>
    <w:rsid w:val="3DB63E08"/>
    <w:rsid w:val="3F740CBD"/>
    <w:rsid w:val="41C77AB7"/>
    <w:rsid w:val="41D71A67"/>
    <w:rsid w:val="41E66DC9"/>
    <w:rsid w:val="42985285"/>
    <w:rsid w:val="43A318F9"/>
    <w:rsid w:val="43C91F0A"/>
    <w:rsid w:val="47646DBF"/>
    <w:rsid w:val="481B65D4"/>
    <w:rsid w:val="4974453C"/>
    <w:rsid w:val="4B99119C"/>
    <w:rsid w:val="4BF368CE"/>
    <w:rsid w:val="52E8437C"/>
    <w:rsid w:val="52F4369C"/>
    <w:rsid w:val="532B0107"/>
    <w:rsid w:val="535413DC"/>
    <w:rsid w:val="536F35A6"/>
    <w:rsid w:val="56753F25"/>
    <w:rsid w:val="580E7FA0"/>
    <w:rsid w:val="586A03A2"/>
    <w:rsid w:val="593162FA"/>
    <w:rsid w:val="5AE937B1"/>
    <w:rsid w:val="5AFA7F12"/>
    <w:rsid w:val="5B9D5E70"/>
    <w:rsid w:val="5BDB0340"/>
    <w:rsid w:val="5CCB51C0"/>
    <w:rsid w:val="5D1F6B4C"/>
    <w:rsid w:val="5D871CE8"/>
    <w:rsid w:val="5DD9232D"/>
    <w:rsid w:val="5E1C6D80"/>
    <w:rsid w:val="60D9183E"/>
    <w:rsid w:val="619B16B7"/>
    <w:rsid w:val="656C57D2"/>
    <w:rsid w:val="67943B44"/>
    <w:rsid w:val="68E91B00"/>
    <w:rsid w:val="6905392B"/>
    <w:rsid w:val="6911772F"/>
    <w:rsid w:val="69685F13"/>
    <w:rsid w:val="69AD6C9D"/>
    <w:rsid w:val="6CCA5444"/>
    <w:rsid w:val="70CD6202"/>
    <w:rsid w:val="713160CB"/>
    <w:rsid w:val="7167720F"/>
    <w:rsid w:val="723E0DAC"/>
    <w:rsid w:val="75344379"/>
    <w:rsid w:val="773474FA"/>
    <w:rsid w:val="78BD441E"/>
    <w:rsid w:val="78C84E00"/>
    <w:rsid w:val="7982304E"/>
    <w:rsid w:val="7A2F0B19"/>
    <w:rsid w:val="7B52312A"/>
    <w:rsid w:val="7C8F03B2"/>
    <w:rsid w:val="7F77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1"/>
    <w:qFormat/>
    <w:uiPriority w:val="9"/>
    <w:pPr>
      <w:keepNext/>
      <w:keepLines/>
      <w:adjustRightInd w:val="0"/>
      <w:snapToGrid w:val="0"/>
      <w:spacing w:line="360" w:lineRule="auto"/>
      <w:jc w:val="center"/>
      <w:outlineLvl w:val="0"/>
    </w:pPr>
    <w:rPr>
      <w:rFonts w:eastAsia="宋体"/>
      <w:b/>
      <w:bCs/>
      <w:kern w:val="44"/>
      <w:sz w:val="28"/>
      <w:szCs w:val="44"/>
    </w:rPr>
  </w:style>
  <w:style w:type="paragraph" w:styleId="5">
    <w:name w:val="heading 2"/>
    <w:basedOn w:val="1"/>
    <w:next w:val="1"/>
    <w:link w:val="22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outlineLvl w:val="1"/>
    </w:pPr>
    <w:rPr>
      <w:rFonts w:eastAsia="宋体" w:asciiTheme="majorHAnsi" w:hAnsiTheme="majorHAnsi" w:cstheme="majorBidi"/>
      <w:b/>
      <w:bCs/>
      <w:sz w:val="24"/>
      <w:szCs w:val="32"/>
    </w:rPr>
  </w:style>
  <w:style w:type="paragraph" w:styleId="6">
    <w:name w:val="heading 3"/>
    <w:basedOn w:val="1"/>
    <w:next w:val="1"/>
    <w:link w:val="24"/>
    <w:unhideWhenUsed/>
    <w:qFormat/>
    <w:uiPriority w:val="9"/>
    <w:pPr>
      <w:keepNext/>
      <w:keepLines/>
      <w:adjustRightInd w:val="0"/>
      <w:snapToGrid w:val="0"/>
      <w:spacing w:line="360" w:lineRule="auto"/>
      <w:ind w:firstLine="200" w:firstLineChars="200"/>
      <w:outlineLvl w:val="2"/>
    </w:pPr>
    <w:rPr>
      <w:rFonts w:eastAsia="宋体"/>
      <w:b/>
      <w:bCs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8">
    <w:name w:val="annotation text"/>
    <w:basedOn w:val="1"/>
    <w:qFormat/>
    <w:uiPriority w:val="0"/>
  </w:style>
  <w:style w:type="paragraph" w:styleId="9">
    <w:name w:val="Body Text"/>
    <w:basedOn w:val="1"/>
    <w:link w:val="27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10">
    <w:name w:val="toc 3"/>
    <w:basedOn w:val="1"/>
    <w:next w:val="1"/>
    <w:unhideWhenUsed/>
    <w:qFormat/>
    <w:uiPriority w:val="39"/>
    <w:pPr>
      <w:adjustRightInd w:val="0"/>
      <w:snapToGrid w:val="0"/>
      <w:spacing w:line="360" w:lineRule="auto"/>
      <w:ind w:left="400" w:leftChars="400" w:firstLine="200" w:firstLineChars="200"/>
    </w:pPr>
    <w:rPr>
      <w:rFonts w:eastAsia="宋体"/>
    </w:rPr>
  </w:style>
  <w:style w:type="paragraph" w:styleId="11">
    <w:name w:val="Plain Text"/>
    <w:basedOn w:val="1"/>
    <w:next w:val="7"/>
    <w:qFormat/>
    <w:uiPriority w:val="0"/>
    <w:rPr>
      <w:rFonts w:ascii="宋体" w:hAnsi="Courier New"/>
      <w:szCs w:val="21"/>
    </w:rPr>
  </w:style>
  <w:style w:type="paragraph" w:styleId="1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13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unhideWhenUsed/>
    <w:qFormat/>
    <w:uiPriority w:val="39"/>
    <w:pPr>
      <w:adjustRightInd w:val="0"/>
      <w:snapToGrid w:val="0"/>
      <w:spacing w:line="360" w:lineRule="auto"/>
      <w:ind w:firstLine="200" w:firstLineChars="200"/>
    </w:pPr>
    <w:rPr>
      <w:rFonts w:eastAsia="宋体"/>
      <w:sz w:val="28"/>
    </w:rPr>
  </w:style>
  <w:style w:type="paragraph" w:styleId="16">
    <w:name w:val="toc 2"/>
    <w:basedOn w:val="1"/>
    <w:next w:val="1"/>
    <w:unhideWhenUsed/>
    <w:qFormat/>
    <w:uiPriority w:val="39"/>
    <w:pPr>
      <w:tabs>
        <w:tab w:val="right" w:leader="dot" w:pos="8720"/>
      </w:tabs>
      <w:adjustRightInd w:val="0"/>
      <w:snapToGrid w:val="0"/>
      <w:spacing w:line="360" w:lineRule="auto"/>
      <w:ind w:left="420" w:leftChars="200" w:firstLine="420" w:firstLineChars="200"/>
    </w:pPr>
    <w:rPr>
      <w:rFonts w:eastAsia="宋体"/>
    </w:r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4"/>
    <w:qFormat/>
    <w:uiPriority w:val="9"/>
    <w:rPr>
      <w:rFonts w:eastAsia="宋体"/>
      <w:b/>
      <w:bCs/>
      <w:kern w:val="44"/>
      <w:sz w:val="28"/>
      <w:szCs w:val="44"/>
    </w:rPr>
  </w:style>
  <w:style w:type="character" w:customStyle="1" w:styleId="22">
    <w:name w:val="标题 2 字符"/>
    <w:basedOn w:val="19"/>
    <w:link w:val="5"/>
    <w:qFormat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table" w:customStyle="1" w:styleId="23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标题 3 字符"/>
    <w:basedOn w:val="19"/>
    <w:link w:val="6"/>
    <w:qFormat/>
    <w:uiPriority w:val="9"/>
    <w:rPr>
      <w:rFonts w:eastAsia="宋体"/>
      <w:b/>
      <w:bCs/>
      <w:szCs w:val="32"/>
    </w:rPr>
  </w:style>
  <w:style w:type="character" w:customStyle="1" w:styleId="25">
    <w:name w:val="font01"/>
    <w:basedOn w:val="19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26">
    <w:name w:val="TOC Heading"/>
    <w:basedOn w:val="4"/>
    <w:next w:val="1"/>
    <w:unhideWhenUsed/>
    <w:qFormat/>
    <w:uiPriority w:val="39"/>
    <w:pPr>
      <w:widowControl/>
      <w:adjustRightInd/>
      <w:snapToGrid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27">
    <w:name w:val="正文文本 字符"/>
    <w:basedOn w:val="19"/>
    <w:link w:val="9"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paragraph" w:styleId="28">
    <w:name w:val="List Paragraph"/>
    <w:basedOn w:val="1"/>
    <w:qFormat/>
    <w:uiPriority w:val="1"/>
    <w:pPr>
      <w:autoSpaceDE w:val="0"/>
      <w:autoSpaceDN w:val="0"/>
      <w:ind w:left="400" w:firstLine="42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paragraph" w:customStyle="1" w:styleId="29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30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31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32">
    <w:name w:val="NormalCharacter"/>
    <w:semiHidden/>
    <w:qFormat/>
    <w:uiPriority w:val="0"/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33FE6-E055-4385-956C-9B08F867E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2364</Words>
  <Characters>2668</Characters>
  <Lines>130</Lines>
  <Paragraphs>36</Paragraphs>
  <TotalTime>9</TotalTime>
  <ScaleCrop>false</ScaleCrop>
  <LinksUpToDate>false</LinksUpToDate>
  <CharactersWithSpaces>2810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2021-07-01T01:45:00Z</dcterms:created>
  <dc:creator>xl s</dc:creator>
  <cp:lastModifiedBy>木木</cp:lastModifiedBy>
  <cp:lastPrinted>2022-06-10T09:07:00Z</cp:lastPrinted>
  <dcterms:modified xsi:type="dcterms:W3CDTF">2023-06-16T01:38:12Z</dcterms:modified>
  <cp:revision>187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46520543E8154CACA8A53B6BEB0424DA</vt:lpwstr>
  </property>
</Properties>
</file>